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drawing>
          <wp:inline xmlns:a="http://schemas.openxmlformats.org/drawingml/2006/main" xmlns:pic="http://schemas.openxmlformats.org/drawingml/2006/picture">
            <wp:extent cx="4206240" cy="1402080"/>
            <wp:docPr id="8" name="Picture 8"/>
            <wp:cNvGraphicFramePr>
              <a:graphicFrameLocks noChangeAspect="1"/>
            </wp:cNvGraphicFramePr>
            <a:graphic>
              <a:graphicData uri="http://schemas.openxmlformats.org/drawingml/2006/picture">
                <pic:pic>
                  <pic:nvPicPr>
                    <pic:cNvPr id="0" name="exec-581256da-8c0b-4d01-b410-e73f20ee1daa.png"/>
                    <pic:cNvPicPr/>
                  </pic:nvPicPr>
                  <pic:blipFill>
                    <a:blip r:embed="rId17"/>
                    <a:stretch>
                      <a:fillRect/>
                    </a:stretch>
                  </pic:blipFill>
                  <pic:spPr>
                    <a:xfrm>
                      <a:off x="0" y="0"/>
                      <a:ext cx="4206240" cy="1402080"/>
                    </a:xfrm>
                    <a:prstGeom prst="rect"/>
                  </pic:spPr>
                </pic:pic>
              </a:graphicData>
            </a:graphic>
          </wp:inline>
        </w:drawing>
      </w:r>
    </w:p>
    <w:p>
      <w:pPr>
        <w:pStyle w:val="Title"/>
      </w:pPr>
      <w:r>
        <w:t>Company Introduction</w:t>
      </w:r>
    </w:p>
    <w:p>
      <w:r>
        <w:t>Introduction for Japanese Trading Companies</w:t>
      </w:r>
    </w:p>
    <w:p>
      <w:pPr>
        <w:pStyle w:val="Heading1"/>
      </w:pPr>
      <w:r>
        <w:t>Company overview</w:t>
      </w:r>
    </w:p>
    <w:p>
      <w:r>
        <w:t>Eurogold Accesories Limited is a woven bag manufacturer based in Banyerchala, Bagerbazar, Gazipur, Bangladesh, with an annual manufacturing capacity of 1,300 metric tonnes. We are seeking cooperation with Japanese trading companies to source suitable polypropylene resin for our woven bag business.</w:t>
      </w:r>
    </w:p>
    <w:p>
      <w:pPr>
        <w:pStyle w:val="Heading1"/>
      </w:pPr>
      <w:r>
        <w:t>Proposed cooperation</w:t>
      </w:r>
    </w:p>
    <w:p>
      <w:pPr>
        <w:spacing w:after="100"/>
      </w:pPr>
      <w:r>
        <w:t>We are interested in virgin, prime-quality, Japanese-manufactured PP homopolymer for raffia and flat-yarn applications. TASNEE H1030 is our reference grade, with an MFR of 3 g/10 min at 230°C under a 2.16 kg load. We invite recommendations for a suitable equivalent, subject to technical evaluation and production-trial approval.</w:t>
      </w:r>
    </w:p>
    <w:p>
      <w:r>
        <w:t>Please provide your recommended grade and technical datasheet, sample availability, confirmation of Japanese origin, minimum order quantity, lead time and payment terms. We request CIF Chattogram quotations for an initial container and a proposed 100 metric tonne order, subject to agreement.</w:t>
      </w:r>
    </w:p>
    <w:p>
      <w:pPr>
        <w:pStyle w:val="Heading1"/>
      </w:pPr>
      <w:r>
        <w:t>Prominent customers</w:t>
      </w:r>
    </w:p>
    <w:p>
      <w:r>
        <w:t>Our prominent customers include the following organizations.</w:t>
      </w:r>
    </w:p>
    <w:tbl>
      <w:tblPr>
        <w:tblW w:type="auto" w:w="0"/>
        <w:tblLayout w:type="fixed"/>
        <w:tblLook w:firstColumn="1" w:firstRow="1" w:lastColumn="0" w:lastRow="0" w:noHBand="0" w:noVBand="1" w:val="04A0"/>
      </w:tblPr>
      <w:tblGrid>
        <w:gridCol w:w="3264"/>
        <w:gridCol w:w="3264"/>
        <w:gridCol w:w="3264"/>
      </w:tblGrid>
      <w:tr>
        <w:tc>
          <w:tcPr>
            <w:tcW w:type="dxa" w:w="3168"/>
            <w:tcBorders>
              <w:top w:val="single" w:sz="4" w:color="D9D9D9"/>
              <w:left w:val="single" w:sz="4" w:color="D9D9D9"/>
              <w:bottom w:val="single" w:sz="4" w:color="D9D9D9"/>
              <w:right w:val="single" w:sz="4" w:color="D9D9D9"/>
            </w:tcBorders>
          </w:tcPr>
          <w:p>
            <w:pPr>
              <w:spacing w:before="100" w:after="60"/>
              <w:jc w:val="center"/>
            </w:pPr>
            <w:r>
              <w:drawing>
                <wp:inline xmlns:a="http://schemas.openxmlformats.org/drawingml/2006/main" xmlns:pic="http://schemas.openxmlformats.org/drawingml/2006/picture">
                  <wp:extent cx="438912" cy="438912"/>
                  <wp:docPr id="2" name="Picture 2"/>
                  <wp:cNvGraphicFramePr>
                    <a:graphicFrameLocks noChangeAspect="1"/>
                  </wp:cNvGraphicFramePr>
                  <a:graphic>
                    <a:graphicData uri="http://schemas.openxmlformats.org/drawingml/2006/picture">
                      <pic:pic>
                        <pic:nvPicPr>
                          <pic:cNvPr id="0" name="rfl_ready.png"/>
                          <pic:cNvPicPr/>
                        </pic:nvPicPr>
                        <pic:blipFill>
                          <a:blip r:embed="rId11"/>
                          <a:stretch>
                            <a:fillRect/>
                          </a:stretch>
                        </pic:blipFill>
                        <pic:spPr>
                          <a:xfrm>
                            <a:off x="0" y="0"/>
                            <a:ext cx="438912" cy="438912"/>
                          </a:xfrm>
                          <a:prstGeom prst="rect"/>
                        </pic:spPr>
                      </pic:pic>
                    </a:graphicData>
                  </a:graphic>
                </wp:inline>
              </w:drawing>
            </w:r>
          </w:p>
          <w:p>
            <w:pPr>
              <w:spacing w:after="120"/>
              <w:jc w:val="center"/>
            </w:pPr>
            <w:r>
              <w:rPr>
                <w:sz w:val="18"/>
              </w:rPr>
              <w:t>RFL</w:t>
            </w:r>
          </w:p>
        </w:tc>
        <w:tc>
          <w:tcPr>
            <w:tcW w:type="dxa" w:w="3168"/>
            <w:tcBorders>
              <w:top w:val="single" w:sz="4" w:color="D9D9D9"/>
              <w:left w:val="single" w:sz="4" w:color="D9D9D9"/>
              <w:bottom w:val="single" w:sz="4" w:color="D9D9D9"/>
              <w:right w:val="single" w:sz="4" w:color="D9D9D9"/>
            </w:tcBorders>
          </w:tcPr>
          <w:p>
            <w:pPr>
              <w:spacing w:before="100" w:after="60"/>
              <w:jc w:val="center"/>
            </w:pPr>
            <w:r>
              <w:drawing>
                <wp:inline xmlns:a="http://schemas.openxmlformats.org/drawingml/2006/main" xmlns:pic="http://schemas.openxmlformats.org/drawingml/2006/picture">
                  <wp:extent cx="1207008" cy="438912"/>
                  <wp:docPr id="3" name="Picture 3"/>
                  <wp:cNvGraphicFramePr>
                    <a:graphicFrameLocks noChangeAspect="1"/>
                  </wp:cNvGraphicFramePr>
                  <a:graphic>
                    <a:graphicData uri="http://schemas.openxmlformats.org/drawingml/2006/picture">
                      <pic:pic>
                        <pic:nvPicPr>
                          <pic:cNvPr id="0" name="beximco_ready.png"/>
                          <pic:cNvPicPr/>
                        </pic:nvPicPr>
                        <pic:blipFill>
                          <a:blip r:embed="rId12"/>
                          <a:stretch>
                            <a:fillRect/>
                          </a:stretch>
                        </pic:blipFill>
                        <pic:spPr>
                          <a:xfrm>
                            <a:off x="0" y="0"/>
                            <a:ext cx="1207008" cy="438912"/>
                          </a:xfrm>
                          <a:prstGeom prst="rect"/>
                        </pic:spPr>
                      </pic:pic>
                    </a:graphicData>
                  </a:graphic>
                </wp:inline>
              </w:drawing>
            </w:r>
          </w:p>
          <w:p>
            <w:pPr>
              <w:spacing w:after="120"/>
              <w:jc w:val="center"/>
            </w:pPr>
            <w:r>
              <w:rPr>
                <w:sz w:val="18"/>
              </w:rPr>
              <w:t>BEXIMCO</w:t>
            </w:r>
          </w:p>
        </w:tc>
        <w:tc>
          <w:tcPr>
            <w:tcW w:type="dxa" w:w="3168"/>
            <w:tcBorders>
              <w:top w:val="single" w:sz="4" w:color="D9D9D9"/>
              <w:left w:val="single" w:sz="4" w:color="D9D9D9"/>
              <w:bottom w:val="single" w:sz="4" w:color="D9D9D9"/>
              <w:right w:val="single" w:sz="4" w:color="D9D9D9"/>
            </w:tcBorders>
          </w:tcPr>
          <w:p>
            <w:pPr>
              <w:spacing w:before="100" w:after="60"/>
              <w:jc w:val="center"/>
            </w:pPr>
            <w:r>
              <w:drawing>
                <wp:inline xmlns:a="http://schemas.openxmlformats.org/drawingml/2006/main" xmlns:pic="http://schemas.openxmlformats.org/drawingml/2006/picture">
                  <wp:extent cx="1316736" cy="438912"/>
                  <wp:docPr id="4" name="Picture 4"/>
                  <wp:cNvGraphicFramePr>
                    <a:graphicFrameLocks noChangeAspect="1"/>
                  </wp:cNvGraphicFramePr>
                  <a:graphic>
                    <a:graphicData uri="http://schemas.openxmlformats.org/drawingml/2006/picture">
                      <pic:pic>
                        <pic:nvPicPr>
                          <pic:cNvPr id="0" name="brac_ready.png"/>
                          <pic:cNvPicPr/>
                        </pic:nvPicPr>
                        <pic:blipFill>
                          <a:blip r:embed="rId13"/>
                          <a:stretch>
                            <a:fillRect/>
                          </a:stretch>
                        </pic:blipFill>
                        <pic:spPr>
                          <a:xfrm>
                            <a:off x="0" y="0"/>
                            <a:ext cx="1316736" cy="438912"/>
                          </a:xfrm>
                          <a:prstGeom prst="rect"/>
                        </pic:spPr>
                      </pic:pic>
                    </a:graphicData>
                  </a:graphic>
                </wp:inline>
              </w:drawing>
            </w:r>
          </w:p>
          <w:p>
            <w:pPr>
              <w:spacing w:after="120"/>
              <w:jc w:val="center"/>
            </w:pPr>
            <w:r>
              <w:rPr>
                <w:sz w:val="18"/>
              </w:rPr>
              <w:t>BRAC</w:t>
            </w:r>
          </w:p>
        </w:tc>
      </w:tr>
      <w:tr>
        <w:tc>
          <w:tcPr>
            <w:tcW w:type="dxa" w:w="3168"/>
            <w:tcBorders>
              <w:top w:val="single" w:sz="4" w:color="D9D9D9"/>
              <w:left w:val="single" w:sz="4" w:color="D9D9D9"/>
              <w:bottom w:val="single" w:sz="4" w:color="D9D9D9"/>
              <w:right w:val="single" w:sz="4" w:color="D9D9D9"/>
            </w:tcBorders>
          </w:tcPr>
          <w:p>
            <w:pPr>
              <w:spacing w:before="100" w:after="60"/>
              <w:jc w:val="center"/>
            </w:pPr>
            <w:r>
              <w:drawing>
                <wp:inline xmlns:a="http://schemas.openxmlformats.org/drawingml/2006/main" xmlns:pic="http://schemas.openxmlformats.org/drawingml/2006/picture">
                  <wp:extent cx="1417320" cy="304484"/>
                  <wp:docPr id="5" name="Picture 5"/>
                  <wp:cNvGraphicFramePr>
                    <a:graphicFrameLocks noChangeAspect="1"/>
                  </wp:cNvGraphicFramePr>
                  <a:graphic>
                    <a:graphicData uri="http://schemas.openxmlformats.org/drawingml/2006/picture">
                      <pic:pic>
                        <pic:nvPicPr>
                          <pic:cNvPr id="0" name="renata_ready.png"/>
                          <pic:cNvPicPr/>
                        </pic:nvPicPr>
                        <pic:blipFill>
                          <a:blip r:embed="rId14"/>
                          <a:stretch>
                            <a:fillRect/>
                          </a:stretch>
                        </pic:blipFill>
                        <pic:spPr>
                          <a:xfrm>
                            <a:off x="0" y="0"/>
                            <a:ext cx="1417320" cy="304484"/>
                          </a:xfrm>
                          <a:prstGeom prst="rect"/>
                        </pic:spPr>
                      </pic:pic>
                    </a:graphicData>
                  </a:graphic>
                </wp:inline>
              </w:drawing>
            </w:r>
          </w:p>
          <w:p>
            <w:pPr>
              <w:spacing w:after="120"/>
              <w:jc w:val="center"/>
            </w:pPr>
            <w:r>
              <w:rPr>
                <w:sz w:val="18"/>
              </w:rPr>
              <w:t>Renata PLC</w:t>
            </w:r>
          </w:p>
        </w:tc>
        <w:tc>
          <w:tcPr>
            <w:tcW w:type="dxa" w:w="3168"/>
            <w:tcBorders>
              <w:top w:val="single" w:sz="4" w:color="D9D9D9"/>
              <w:left w:val="single" w:sz="4" w:color="D9D9D9"/>
              <w:bottom w:val="single" w:sz="4" w:color="D9D9D9"/>
              <w:right w:val="single" w:sz="4" w:color="D9D9D9"/>
            </w:tcBorders>
          </w:tcPr>
          <w:p>
            <w:pPr>
              <w:spacing w:before="100" w:after="60"/>
              <w:jc w:val="center"/>
            </w:pPr>
            <w:r>
              <w:drawing>
                <wp:inline xmlns:a="http://schemas.openxmlformats.org/drawingml/2006/main" xmlns:pic="http://schemas.openxmlformats.org/drawingml/2006/picture">
                  <wp:extent cx="1417320" cy="282660"/>
                  <wp:docPr id="6" name="Picture 6"/>
                  <wp:cNvGraphicFramePr>
                    <a:graphicFrameLocks noChangeAspect="1"/>
                  </wp:cNvGraphicFramePr>
                  <a:graphic>
                    <a:graphicData uri="http://schemas.openxmlformats.org/drawingml/2006/picture">
                      <pic:pic>
                        <pic:nvPicPr>
                          <pic:cNvPr id="0" name="partex_ready.png"/>
                          <pic:cNvPicPr/>
                        </pic:nvPicPr>
                        <pic:blipFill>
                          <a:blip r:embed="rId15"/>
                          <a:stretch>
                            <a:fillRect/>
                          </a:stretch>
                        </pic:blipFill>
                        <pic:spPr>
                          <a:xfrm>
                            <a:off x="0" y="0"/>
                            <a:ext cx="1417320" cy="282660"/>
                          </a:xfrm>
                          <a:prstGeom prst="rect"/>
                        </pic:spPr>
                      </pic:pic>
                    </a:graphicData>
                  </a:graphic>
                </wp:inline>
              </w:drawing>
            </w:r>
          </w:p>
          <w:p>
            <w:pPr>
              <w:spacing w:after="120"/>
              <w:jc w:val="center"/>
            </w:pPr>
            <w:r>
              <w:rPr>
                <w:sz w:val="18"/>
              </w:rPr>
              <w:t>Partex Group</w:t>
            </w:r>
          </w:p>
        </w:tc>
        <w:tc>
          <w:tcPr>
            <w:tcW w:type="dxa" w:w="3168"/>
            <w:tcBorders>
              <w:top w:val="single" w:sz="4" w:color="D9D9D9"/>
              <w:left w:val="single" w:sz="4" w:color="D9D9D9"/>
              <w:bottom w:val="single" w:sz="4" w:color="D9D9D9"/>
              <w:right w:val="single" w:sz="4" w:color="D9D9D9"/>
            </w:tcBorders>
          </w:tcPr>
          <w:p>
            <w:pPr>
              <w:spacing w:before="100" w:after="60"/>
              <w:jc w:val="center"/>
            </w:pPr>
            <w:r>
              <w:drawing>
                <wp:inline xmlns:a="http://schemas.openxmlformats.org/drawingml/2006/main" xmlns:pic="http://schemas.openxmlformats.org/drawingml/2006/picture">
                  <wp:extent cx="427469" cy="438912"/>
                  <wp:docPr id="7" name="Picture 7"/>
                  <wp:cNvGraphicFramePr>
                    <a:graphicFrameLocks noChangeAspect="1"/>
                  </wp:cNvGraphicFramePr>
                  <a:graphic>
                    <a:graphicData uri="http://schemas.openxmlformats.org/drawingml/2006/picture">
                      <pic:pic>
                        <pic:nvPicPr>
                          <pic:cNvPr id="0" name="abul_ready.png"/>
                          <pic:cNvPicPr/>
                        </pic:nvPicPr>
                        <pic:blipFill>
                          <a:blip r:embed="rId16"/>
                          <a:stretch>
                            <a:fillRect/>
                          </a:stretch>
                        </pic:blipFill>
                        <pic:spPr>
                          <a:xfrm>
                            <a:off x="0" y="0"/>
                            <a:ext cx="427469" cy="438912"/>
                          </a:xfrm>
                          <a:prstGeom prst="rect"/>
                        </pic:spPr>
                      </pic:pic>
                    </a:graphicData>
                  </a:graphic>
                </wp:inline>
              </w:drawing>
            </w:r>
          </w:p>
          <w:p>
            <w:pPr>
              <w:spacing w:after="120"/>
              <w:jc w:val="center"/>
            </w:pPr>
            <w:r>
              <w:rPr>
                <w:sz w:val="18"/>
              </w:rPr>
              <w:t>Abul Khair Group</w:t>
            </w:r>
          </w:p>
        </w:tc>
      </w:tr>
    </w:tbl>
    <w:p>
      <w:pPr>
        <w:pStyle w:val="Heading1"/>
      </w:pPr>
      <w:r>
        <w:t>Contact</w:t>
      </w:r>
    </w:p>
    <w:p>
      <w:pPr>
        <w:spacing w:after="60"/>
      </w:pPr>
      <w:r>
        <w:t>Abdus Salam | Executive Director</w:t>
      </w:r>
    </w:p>
    <w:p>
      <w:pPr>
        <w:spacing w:after="60"/>
      </w:pPr>
      <w:r>
        <w:t>Telephone: +8801313019381 | Email: Abdus.salam.eurogold@gmail.com</w:t>
      </w:r>
    </w:p>
    <w:p>
      <w:pPr>
        <w:spacing w:after="60"/>
      </w:pPr>
      <w:r>
        <w:t>Banyerchala, Bagerbazar, Gazipur, Bangladesh</w:t>
      </w:r>
    </w:p>
    <w:sectPr w:rsidR="00FC693F" w:rsidRPr="0006063C" w:rsidSect="00034616">
      <w:pgSz w:w="12240" w:h="15840"/>
      <w:pgMar w:top="936"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7"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20"/>
      <w:outlineLvl w:val="0"/>
    </w:pPr>
    <w:rPr>
      <w:rFonts w:asciiTheme="majorHAnsi" w:eastAsiaTheme="majorEastAsia" w:hAnsiTheme="majorHAnsi" w:cstheme="majorBidi"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Eurogold Company Introduction for Japanese Trading Companies</dc:title>
  <dc:subject/>
  <dc:creator>Euro Gold Accesories Limited</dc:creator>
  <cp:keywords/>
  <dc:description>generated by python-docx</dc:description>
  <cp:lastModifiedBy/>
  <cp:revision>1</cp:revision>
  <dcterms:created xsi:type="dcterms:W3CDTF">2013-12-23T23:15:00Z</dcterms:created>
  <dcterms:modified xsi:type="dcterms:W3CDTF">2013-12-23T23:15:00Z</dcterms:modified>
  <cp:category/>
</cp:coreProperties>
</file>